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F084A" w:rsidRPr="00270CDA" w14:paraId="2D44C15C" w14:textId="77777777" w:rsidTr="00084E81">
        <w:tc>
          <w:tcPr>
            <w:tcW w:w="9214" w:type="dxa"/>
            <w:shd w:val="clear" w:color="auto" w:fill="D9D9D9"/>
            <w:vAlign w:val="center"/>
          </w:tcPr>
          <w:p w14:paraId="2FE2DCFE" w14:textId="77777777" w:rsidR="000F084A" w:rsidRPr="00270CDA" w:rsidRDefault="000F084A" w:rsidP="00084E81">
            <w:pPr>
              <w:widowControl/>
              <w:suppressAutoHyphens w:val="0"/>
              <w:spacing w:after="40"/>
              <w:jc w:val="right"/>
              <w:rPr>
                <w:rFonts w:ascii="Calibri" w:eastAsia="Times New Roman" w:hAnsi="Calibri" w:cs="Segoe UI"/>
                <w:b/>
                <w:kern w:val="0"/>
                <w:sz w:val="20"/>
                <w:szCs w:val="20"/>
                <w:lang w:eastAsia="pl-PL"/>
              </w:rPr>
            </w:pPr>
            <w:bookmarkStart w:id="0" w:name="_GoBack" w:colFirst="0" w:colLast="0"/>
            <w:r w:rsidRPr="00270CDA">
              <w:rPr>
                <w:rFonts w:ascii="Calibri" w:eastAsia="Times New Roman" w:hAnsi="Calibri" w:cs="Segoe UI"/>
                <w:b/>
                <w:kern w:val="0"/>
                <w:sz w:val="20"/>
                <w:szCs w:val="20"/>
                <w:lang w:eastAsia="pl-PL"/>
              </w:rPr>
              <w:br w:type="page"/>
              <w:t>Załącznik nr 2 do SIWZ</w:t>
            </w:r>
          </w:p>
        </w:tc>
      </w:tr>
      <w:tr w:rsidR="000F084A" w:rsidRPr="00270CDA" w14:paraId="25C3BE2A" w14:textId="77777777" w:rsidTr="00084E81">
        <w:trPr>
          <w:trHeight w:val="460"/>
        </w:trPr>
        <w:tc>
          <w:tcPr>
            <w:tcW w:w="9214" w:type="dxa"/>
            <w:shd w:val="clear" w:color="auto" w:fill="D9D9D9"/>
            <w:vAlign w:val="center"/>
          </w:tcPr>
          <w:p w14:paraId="41BAAC08" w14:textId="77777777" w:rsidR="000F084A" w:rsidRDefault="000F084A" w:rsidP="00084E81">
            <w:pPr>
              <w:keepNext/>
              <w:widowControl/>
              <w:suppressAutoHyphens w:val="0"/>
              <w:spacing w:after="40"/>
              <w:jc w:val="center"/>
              <w:outlineLvl w:val="0"/>
              <w:rPr>
                <w:rFonts w:ascii="Calibri" w:eastAsia="Times New Roman" w:hAnsi="Calibri" w:cs="Segoe UI"/>
                <w:b/>
                <w:bCs/>
                <w:kern w:val="32"/>
                <w:sz w:val="20"/>
                <w:szCs w:val="20"/>
                <w:lang w:eastAsia="pl-PL"/>
              </w:rPr>
            </w:pPr>
            <w:r w:rsidRPr="00270CDA">
              <w:rPr>
                <w:rFonts w:ascii="Calibri" w:eastAsia="Times New Roman" w:hAnsi="Calibri" w:cs="Segoe UI"/>
                <w:b/>
                <w:bCs/>
                <w:kern w:val="32"/>
                <w:sz w:val="20"/>
                <w:szCs w:val="20"/>
                <w:lang w:eastAsia="pl-PL"/>
              </w:rPr>
              <w:t xml:space="preserve">OŚWIADCZENIE </w:t>
            </w:r>
          </w:p>
          <w:p w14:paraId="31667EEE" w14:textId="77777777" w:rsidR="000F084A" w:rsidRDefault="000F084A" w:rsidP="00084E81">
            <w:pPr>
              <w:keepNext/>
              <w:widowControl/>
              <w:suppressAutoHyphens w:val="0"/>
              <w:spacing w:after="40"/>
              <w:jc w:val="center"/>
              <w:outlineLvl w:val="0"/>
              <w:rPr>
                <w:rFonts w:ascii="Calibri" w:eastAsia="Times New Roman" w:hAnsi="Calibri" w:cs="Segoe UI"/>
                <w:b/>
                <w:bCs/>
                <w:kern w:val="32"/>
                <w:sz w:val="20"/>
                <w:szCs w:val="20"/>
                <w:lang w:eastAsia="pl-PL"/>
              </w:rPr>
            </w:pPr>
            <w:r w:rsidRPr="00270CDA">
              <w:rPr>
                <w:rFonts w:ascii="Calibri" w:eastAsia="Times New Roman" w:hAnsi="Calibri" w:cs="Segoe UI"/>
                <w:b/>
                <w:bCs/>
                <w:kern w:val="32"/>
                <w:sz w:val="20"/>
                <w:szCs w:val="20"/>
                <w:lang w:eastAsia="pl-PL"/>
              </w:rPr>
              <w:t xml:space="preserve">O BRAKU PODSTAW DO WYKLUCZENIA / </w:t>
            </w:r>
          </w:p>
          <w:p w14:paraId="44204A00" w14:textId="77777777" w:rsidR="000F084A" w:rsidRPr="00270CDA" w:rsidRDefault="000F084A" w:rsidP="00084E81">
            <w:pPr>
              <w:keepNext/>
              <w:widowControl/>
              <w:suppressAutoHyphens w:val="0"/>
              <w:spacing w:after="40"/>
              <w:jc w:val="center"/>
              <w:outlineLvl w:val="0"/>
              <w:rPr>
                <w:rFonts w:ascii="Calibri" w:eastAsia="Times New Roman" w:hAnsi="Calibri" w:cs="Segoe UI"/>
                <w:b/>
                <w:bCs/>
                <w:kern w:val="32"/>
                <w:sz w:val="20"/>
                <w:szCs w:val="20"/>
                <w:lang w:eastAsia="pl-PL"/>
              </w:rPr>
            </w:pPr>
            <w:r w:rsidRPr="00270CDA">
              <w:rPr>
                <w:rFonts w:ascii="Calibri" w:eastAsia="Times New Roman" w:hAnsi="Calibri" w:cs="Segoe UI"/>
                <w:b/>
                <w:bCs/>
                <w:kern w:val="32"/>
                <w:sz w:val="20"/>
                <w:szCs w:val="20"/>
                <w:lang w:eastAsia="pl-PL"/>
              </w:rPr>
              <w:t>I SPEŁNIENIA WARUNKÓW UDZIAŁU W POSTĘPOWANIU</w:t>
            </w:r>
          </w:p>
        </w:tc>
      </w:tr>
      <w:bookmarkEnd w:id="0"/>
    </w:tbl>
    <w:p w14:paraId="616314C4" w14:textId="77777777" w:rsidR="000F084A" w:rsidRPr="00270CDA" w:rsidRDefault="000F084A" w:rsidP="000F084A">
      <w:pPr>
        <w:widowControl/>
        <w:suppressAutoHyphens w:val="0"/>
        <w:spacing w:after="40"/>
        <w:rPr>
          <w:rFonts w:ascii="Calibri" w:eastAsia="Times New Roman" w:hAnsi="Calibri" w:cs="Segoe UI"/>
          <w:kern w:val="0"/>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714"/>
      </w:tblGrid>
      <w:tr w:rsidR="000F084A" w:rsidRPr="00270CDA" w14:paraId="4A329516" w14:textId="77777777" w:rsidTr="00084E81">
        <w:trPr>
          <w:trHeight w:val="429"/>
        </w:trPr>
        <w:tc>
          <w:tcPr>
            <w:tcW w:w="9214" w:type="dxa"/>
            <w:gridSpan w:val="2"/>
            <w:vAlign w:val="center"/>
          </w:tcPr>
          <w:p w14:paraId="3120964B" w14:textId="77777777" w:rsidR="000F084A" w:rsidRPr="00AB252D" w:rsidRDefault="000F084A" w:rsidP="00084E81">
            <w:pPr>
              <w:widowControl/>
              <w:suppressAutoHyphens w:val="0"/>
              <w:spacing w:after="40"/>
              <w:jc w:val="both"/>
              <w:rPr>
                <w:rFonts w:ascii="Calibri" w:eastAsia="Times New Roman" w:hAnsi="Calibri" w:cs="Segoe UI"/>
                <w:b/>
                <w:bCs/>
                <w:i/>
                <w:color w:val="000000"/>
                <w:kern w:val="0"/>
                <w:sz w:val="20"/>
                <w:szCs w:val="20"/>
                <w:lang w:eastAsia="pl-PL"/>
              </w:rPr>
            </w:pPr>
            <w:r w:rsidRPr="00270CDA">
              <w:rPr>
                <w:rFonts w:ascii="Calibri" w:eastAsia="Times New Roman" w:hAnsi="Calibri" w:cs="Segoe UI"/>
                <w:kern w:val="0"/>
                <w:sz w:val="20"/>
                <w:szCs w:val="20"/>
                <w:lang w:eastAsia="pl-PL"/>
              </w:rPr>
              <w:t>Przystępując do postępowania</w:t>
            </w:r>
            <w:r w:rsidRPr="00270CDA">
              <w:rPr>
                <w:rFonts w:ascii="Calibri" w:eastAsia="Times New Roman" w:hAnsi="Calibri" w:cs="Segoe UI"/>
                <w:b/>
                <w:color w:val="000000"/>
                <w:kern w:val="0"/>
                <w:sz w:val="20"/>
                <w:szCs w:val="20"/>
                <w:lang w:eastAsia="pl-PL"/>
              </w:rPr>
              <w:t> </w:t>
            </w:r>
            <w:r w:rsidRPr="00A81C8C">
              <w:rPr>
                <w:rFonts w:ascii="Calibri" w:eastAsia="Times New Roman" w:hAnsi="Calibri" w:cs="Segoe UI"/>
                <w:b/>
                <w:bCs/>
                <w:color w:val="000000"/>
                <w:kern w:val="0"/>
                <w:sz w:val="20"/>
                <w:szCs w:val="20"/>
                <w:lang w:eastAsia="pl-PL"/>
              </w:rPr>
              <w:t>W formule „zaprojektuj i wybuduj” realizacja zadania pn. „</w:t>
            </w:r>
            <w:r>
              <w:rPr>
                <w:rFonts w:ascii="Calibri" w:eastAsia="Times New Roman" w:hAnsi="Calibri" w:cs="Segoe UI"/>
                <w:b/>
                <w:bCs/>
                <w:color w:val="000000"/>
                <w:kern w:val="0"/>
                <w:sz w:val="20"/>
                <w:szCs w:val="20"/>
                <w:lang w:eastAsia="pl-PL"/>
              </w:rPr>
              <w:t>Wymiana ślizgu zjeżdżalni zewnętrznej Parku Wodnego Perła w Nowinach</w:t>
            </w:r>
            <w:r w:rsidRPr="00A81C8C">
              <w:rPr>
                <w:rFonts w:ascii="Calibri" w:eastAsia="Times New Roman" w:hAnsi="Calibri" w:cs="Segoe UI"/>
                <w:b/>
                <w:bCs/>
                <w:color w:val="000000"/>
                <w:kern w:val="0"/>
                <w:sz w:val="20"/>
                <w:szCs w:val="20"/>
                <w:lang w:eastAsia="pl-PL"/>
              </w:rPr>
              <w:t>”.</w:t>
            </w:r>
          </w:p>
        </w:tc>
      </w:tr>
      <w:tr w:rsidR="000F084A" w:rsidRPr="00270CDA" w14:paraId="4B5BDFA9" w14:textId="77777777" w:rsidTr="00084E81">
        <w:trPr>
          <w:trHeight w:val="429"/>
        </w:trPr>
        <w:tc>
          <w:tcPr>
            <w:tcW w:w="9214" w:type="dxa"/>
            <w:gridSpan w:val="2"/>
            <w:vAlign w:val="center"/>
          </w:tcPr>
          <w:p w14:paraId="118E3EAB" w14:textId="77777777" w:rsidR="000F084A" w:rsidRPr="00270CDA" w:rsidRDefault="000F084A" w:rsidP="00084E81">
            <w:pPr>
              <w:widowControl/>
              <w:suppressAutoHyphens w:val="0"/>
              <w:spacing w:after="40"/>
              <w:rPr>
                <w:rFonts w:ascii="Calibri" w:eastAsia="Times New Roman" w:hAnsi="Calibri" w:cs="Segoe UI"/>
                <w:kern w:val="0"/>
                <w:sz w:val="20"/>
                <w:szCs w:val="20"/>
                <w:lang w:eastAsia="pl-PL"/>
              </w:rPr>
            </w:pPr>
            <w:r w:rsidRPr="00270CDA">
              <w:rPr>
                <w:rFonts w:ascii="Calibri" w:eastAsia="Times New Roman" w:hAnsi="Calibri" w:cs="Segoe UI"/>
                <w:kern w:val="0"/>
                <w:sz w:val="20"/>
                <w:szCs w:val="20"/>
                <w:lang w:eastAsia="pl-PL"/>
              </w:rPr>
              <w:t xml:space="preserve">działając w imieniu </w:t>
            </w:r>
            <w:proofErr w:type="gramStart"/>
            <w:r w:rsidRPr="00270CDA">
              <w:rPr>
                <w:rFonts w:ascii="Calibri" w:eastAsia="Times New Roman" w:hAnsi="Calibri" w:cs="Segoe UI"/>
                <w:kern w:val="0"/>
                <w:sz w:val="20"/>
                <w:szCs w:val="20"/>
                <w:lang w:eastAsia="pl-PL"/>
              </w:rPr>
              <w:t>Wykonawcy:…</w:t>
            </w:r>
            <w:proofErr w:type="gramEnd"/>
            <w:r w:rsidRPr="00270CDA">
              <w:rPr>
                <w:rFonts w:ascii="Calibri" w:eastAsia="Times New Roman" w:hAnsi="Calibri" w:cs="Segoe UI"/>
                <w:kern w:val="0"/>
                <w:sz w:val="20"/>
                <w:szCs w:val="20"/>
                <w:lang w:eastAsia="pl-PL"/>
              </w:rPr>
              <w:t>………………………………………………………………………………………………………………………</w:t>
            </w:r>
          </w:p>
          <w:p w14:paraId="1906D926" w14:textId="77777777" w:rsidR="000F084A" w:rsidRPr="00270CDA" w:rsidRDefault="000F084A" w:rsidP="00084E81">
            <w:pPr>
              <w:widowControl/>
              <w:suppressAutoHyphens w:val="0"/>
              <w:spacing w:after="40"/>
              <w:rPr>
                <w:rFonts w:ascii="Calibri" w:eastAsia="Times New Roman" w:hAnsi="Calibri" w:cs="Segoe UI"/>
                <w:kern w:val="0"/>
                <w:sz w:val="20"/>
                <w:szCs w:val="20"/>
                <w:lang w:eastAsia="pl-PL"/>
              </w:rPr>
            </w:pPr>
            <w:r w:rsidRPr="00270CDA">
              <w:rPr>
                <w:rFonts w:ascii="Calibri" w:eastAsia="Times New Roman" w:hAnsi="Calibri" w:cs="Segoe UI"/>
                <w:kern w:val="0"/>
                <w:sz w:val="20"/>
                <w:szCs w:val="20"/>
                <w:lang w:eastAsia="pl-PL"/>
              </w:rPr>
              <w:t>……………………………………………………………………………………………………………………………………………………………………………</w:t>
            </w:r>
          </w:p>
          <w:p w14:paraId="36C55508" w14:textId="77777777" w:rsidR="000F084A" w:rsidRPr="00270CDA" w:rsidRDefault="000F084A" w:rsidP="00084E81">
            <w:pPr>
              <w:widowControl/>
              <w:suppressAutoHyphens w:val="0"/>
              <w:spacing w:after="40"/>
              <w:jc w:val="center"/>
              <w:rPr>
                <w:rFonts w:ascii="Calibri" w:eastAsia="Times New Roman" w:hAnsi="Calibri" w:cs="Segoe UI"/>
                <w:kern w:val="0"/>
                <w:sz w:val="20"/>
                <w:szCs w:val="20"/>
                <w:lang w:eastAsia="pl-PL"/>
              </w:rPr>
            </w:pPr>
            <w:r w:rsidRPr="00270CDA">
              <w:rPr>
                <w:rFonts w:ascii="Calibri" w:eastAsia="Times New Roman" w:hAnsi="Calibri" w:cs="Segoe UI"/>
                <w:kern w:val="0"/>
                <w:sz w:val="20"/>
                <w:szCs w:val="20"/>
                <w:lang w:eastAsia="pl-PL"/>
              </w:rPr>
              <w:t>(podać nazwę i adres Wykonawcy)</w:t>
            </w:r>
          </w:p>
        </w:tc>
      </w:tr>
      <w:tr w:rsidR="000F084A" w:rsidRPr="00270CDA" w14:paraId="00537766" w14:textId="77777777" w:rsidTr="00084E81">
        <w:trPr>
          <w:trHeight w:val="803"/>
        </w:trPr>
        <w:tc>
          <w:tcPr>
            <w:tcW w:w="9214" w:type="dxa"/>
            <w:gridSpan w:val="2"/>
            <w:vAlign w:val="center"/>
          </w:tcPr>
          <w:p w14:paraId="1EA02260" w14:textId="77777777" w:rsidR="000F084A" w:rsidRPr="00270CDA" w:rsidRDefault="000F084A" w:rsidP="00084E81">
            <w:pPr>
              <w:widowControl/>
              <w:suppressAutoHyphens w:val="0"/>
              <w:spacing w:after="40"/>
              <w:jc w:val="center"/>
              <w:rPr>
                <w:rFonts w:ascii="Calibri" w:eastAsia="Times New Roman" w:hAnsi="Calibri" w:cs="Segoe UI"/>
                <w:kern w:val="0"/>
                <w:sz w:val="20"/>
                <w:szCs w:val="20"/>
                <w:lang w:eastAsia="pl-PL"/>
              </w:rPr>
            </w:pPr>
            <w:r w:rsidRPr="00270CDA">
              <w:rPr>
                <w:rFonts w:ascii="Calibri" w:eastAsia="Times New Roman" w:hAnsi="Calibri" w:cs="Segoe UI"/>
                <w:kern w:val="0"/>
                <w:sz w:val="20"/>
                <w:szCs w:val="20"/>
                <w:lang w:eastAsia="pl-PL"/>
              </w:rPr>
              <w:t xml:space="preserve">Oświadczam, że na dzień składania </w:t>
            </w:r>
            <w:proofErr w:type="gramStart"/>
            <w:r w:rsidRPr="00270CDA">
              <w:rPr>
                <w:rFonts w:ascii="Calibri" w:eastAsia="Times New Roman" w:hAnsi="Calibri" w:cs="Segoe UI"/>
                <w:kern w:val="0"/>
                <w:sz w:val="20"/>
                <w:szCs w:val="20"/>
                <w:lang w:eastAsia="pl-PL"/>
              </w:rPr>
              <w:t>ofert  nie</w:t>
            </w:r>
            <w:proofErr w:type="gramEnd"/>
            <w:r w:rsidRPr="00270CDA">
              <w:rPr>
                <w:rFonts w:ascii="Calibri" w:eastAsia="Times New Roman" w:hAnsi="Calibri" w:cs="Segoe UI"/>
                <w:kern w:val="0"/>
                <w:sz w:val="20"/>
                <w:szCs w:val="20"/>
                <w:lang w:eastAsia="pl-PL"/>
              </w:rPr>
              <w:t xml:space="preserve"> podlegam wykluczeniu z postępowania</w:t>
            </w:r>
            <w:r w:rsidRPr="00270CDA">
              <w:rPr>
                <w:rFonts w:ascii="Calibri" w:eastAsia="Times New Roman" w:hAnsi="Calibri" w:cs="Segoe UI"/>
                <w:color w:val="008000"/>
                <w:kern w:val="0"/>
                <w:sz w:val="20"/>
                <w:szCs w:val="20"/>
                <w:lang w:eastAsia="pl-PL"/>
              </w:rPr>
              <w:t xml:space="preserve"> </w:t>
            </w:r>
            <w:r w:rsidRPr="00270CDA">
              <w:rPr>
                <w:rFonts w:ascii="Calibri" w:eastAsia="Times New Roman" w:hAnsi="Calibri" w:cs="Segoe UI"/>
                <w:kern w:val="0"/>
                <w:sz w:val="20"/>
                <w:szCs w:val="20"/>
                <w:lang w:eastAsia="pl-PL"/>
              </w:rPr>
              <w:t>i spełniam warunki udziału w postępowaniu.</w:t>
            </w:r>
          </w:p>
        </w:tc>
      </w:tr>
      <w:tr w:rsidR="000F084A" w:rsidRPr="00270CDA" w14:paraId="31E64634" w14:textId="77777777" w:rsidTr="00084E81">
        <w:trPr>
          <w:trHeight w:val="283"/>
        </w:trPr>
        <w:tc>
          <w:tcPr>
            <w:tcW w:w="9214" w:type="dxa"/>
            <w:gridSpan w:val="2"/>
            <w:vAlign w:val="center"/>
          </w:tcPr>
          <w:p w14:paraId="1D183237" w14:textId="77777777" w:rsidR="000F084A" w:rsidRPr="00270CDA" w:rsidRDefault="000F084A" w:rsidP="00084E81">
            <w:pPr>
              <w:widowControl/>
              <w:suppressAutoHyphens w:val="0"/>
              <w:spacing w:after="40"/>
              <w:jc w:val="both"/>
              <w:rPr>
                <w:rFonts w:ascii="Calibri" w:eastAsia="Times New Roman" w:hAnsi="Calibri" w:cs="Segoe UI"/>
                <w:kern w:val="0"/>
                <w:sz w:val="20"/>
                <w:szCs w:val="20"/>
                <w:lang w:eastAsia="pl-PL"/>
              </w:rPr>
            </w:pPr>
            <w:r w:rsidRPr="00270CDA">
              <w:rPr>
                <w:rFonts w:ascii="Calibri" w:eastAsia="Times New Roman" w:hAnsi="Calibri" w:cs="Segoe UI"/>
                <w:kern w:val="0"/>
                <w:sz w:val="20"/>
                <w:szCs w:val="20"/>
                <w:lang w:eastAsia="pl-PL"/>
              </w:rPr>
              <w:t>W przedmiotowym postępowaniu Zamawiający zgodnie z art. 24 ust. 1 pkt. 12-23 ustawy PZP wykluczy:</w:t>
            </w:r>
          </w:p>
          <w:p w14:paraId="444B1743" w14:textId="77777777" w:rsidR="000F084A" w:rsidRPr="00270CDA" w:rsidRDefault="000F084A" w:rsidP="000F084A">
            <w:pPr>
              <w:widowControl/>
              <w:numPr>
                <w:ilvl w:val="0"/>
                <w:numId w:val="1"/>
              </w:numPr>
              <w:suppressAutoHyphens w:val="0"/>
              <w:spacing w:after="40"/>
              <w:ind w:left="459" w:hanging="425"/>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nie wykazał spełniania warunków udziału w postępowaniu lub nie został zaproszony do negocjacji lub złożenia ofert wstępnych albo ofert, lub nie wykazał braku podstaw wykluczenia;</w:t>
            </w:r>
          </w:p>
          <w:p w14:paraId="0FC83ECF" w14:textId="77777777" w:rsidR="000F084A" w:rsidRPr="00270CDA" w:rsidRDefault="000F084A" w:rsidP="000F084A">
            <w:pPr>
              <w:widowControl/>
              <w:numPr>
                <w:ilvl w:val="0"/>
                <w:numId w:val="1"/>
              </w:numPr>
              <w:suppressAutoHyphens w:val="0"/>
              <w:spacing w:after="40"/>
              <w:ind w:left="459" w:hanging="425"/>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będącego osobą fizyczną, którego prawomocnie skazano za przestępstwo:</w:t>
            </w:r>
          </w:p>
          <w:p w14:paraId="101E3A08" w14:textId="77777777" w:rsidR="000F084A" w:rsidRPr="00270CDA" w:rsidRDefault="000F084A" w:rsidP="000F084A">
            <w:pPr>
              <w:widowControl/>
              <w:numPr>
                <w:ilvl w:val="0"/>
                <w:numId w:val="2"/>
              </w:numPr>
              <w:suppressAutoHyphens w:val="0"/>
              <w:spacing w:after="40"/>
              <w:contextualSpacing/>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o którym mowa w</w:t>
            </w:r>
            <w:r w:rsidRPr="00270CDA">
              <w:rPr>
                <w:rFonts w:ascii="Calibri" w:eastAsia="Times New Roman" w:hAnsi="Calibri"/>
                <w:bCs/>
                <w:kern w:val="0"/>
                <w:sz w:val="20"/>
                <w:szCs w:val="20"/>
                <w:lang w:eastAsia="pl-PL"/>
              </w:rPr>
              <w:softHyphen/>
              <w:t xml:space="preserve"> art. 165a, art. 181–188, art. 189a, art. 218–221, art. 228–230a, art. 250a, art. 258 lub art. 270–309 ustawy z dnia 6 czerwca 1997 r. – Kodeks karny (Dz. U. Nr 88, poz. 553, z </w:t>
            </w:r>
            <w:proofErr w:type="spellStart"/>
            <w:r w:rsidRPr="00270CDA">
              <w:rPr>
                <w:rFonts w:ascii="Calibri" w:eastAsia="Times New Roman" w:hAnsi="Calibri"/>
                <w:bCs/>
                <w:kern w:val="0"/>
                <w:sz w:val="20"/>
                <w:szCs w:val="20"/>
                <w:lang w:eastAsia="pl-PL"/>
              </w:rPr>
              <w:t>późn</w:t>
            </w:r>
            <w:proofErr w:type="spellEnd"/>
            <w:r w:rsidRPr="00270CDA">
              <w:rPr>
                <w:rFonts w:ascii="Calibri" w:eastAsia="Times New Roman" w:hAnsi="Calibri"/>
                <w:bCs/>
                <w:kern w:val="0"/>
                <w:sz w:val="20"/>
                <w:szCs w:val="20"/>
                <w:lang w:eastAsia="pl-PL"/>
              </w:rPr>
              <w:t>. zm.) lub</w:t>
            </w:r>
            <w:r w:rsidRPr="00270CDA">
              <w:rPr>
                <w:rFonts w:ascii="Calibri" w:eastAsia="Times New Roman" w:hAnsi="Calibri"/>
                <w:bCs/>
                <w:kern w:val="0"/>
                <w:sz w:val="20"/>
                <w:szCs w:val="20"/>
                <w:lang w:eastAsia="pl-PL"/>
              </w:rPr>
              <w:softHyphen/>
              <w:t xml:space="preserve"> art. 46 lub art. 48 ustawy z dnia 25 czerwca 2010 r. o sporcie (Dz. U. z 2016 r. poz. 176),</w:t>
            </w:r>
          </w:p>
          <w:p w14:paraId="72A50C89" w14:textId="77777777" w:rsidR="000F084A" w:rsidRPr="00270CDA" w:rsidRDefault="000F084A" w:rsidP="000F084A">
            <w:pPr>
              <w:widowControl/>
              <w:numPr>
                <w:ilvl w:val="0"/>
                <w:numId w:val="2"/>
              </w:numPr>
              <w:suppressAutoHyphens w:val="0"/>
              <w:spacing w:after="40"/>
              <w:contextualSpacing/>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o charakterze terrorystycznym, o którym mowa w art. 115 § 20 ustawy z dnia 6 czerwca 1997 r. – Kodeks karny,</w:t>
            </w:r>
          </w:p>
          <w:p w14:paraId="40DED67C" w14:textId="77777777" w:rsidR="000F084A" w:rsidRPr="00270CDA" w:rsidRDefault="000F084A" w:rsidP="000F084A">
            <w:pPr>
              <w:widowControl/>
              <w:numPr>
                <w:ilvl w:val="0"/>
                <w:numId w:val="2"/>
              </w:numPr>
              <w:suppressAutoHyphens w:val="0"/>
              <w:spacing w:after="40"/>
              <w:contextualSpacing/>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skarbowe,</w:t>
            </w:r>
          </w:p>
          <w:p w14:paraId="3FD7307C" w14:textId="77777777" w:rsidR="000F084A" w:rsidRPr="00270CDA" w:rsidRDefault="000F084A" w:rsidP="000F084A">
            <w:pPr>
              <w:widowControl/>
              <w:numPr>
                <w:ilvl w:val="0"/>
                <w:numId w:val="2"/>
              </w:numPr>
              <w:suppressAutoHyphens w:val="0"/>
              <w:spacing w:after="40"/>
              <w:contextualSpacing/>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o którym mowa w art. 9 lub art. 10 ustawy z dnia 15 czerwca 2012 r. o skutkach powierzania wykonywania pracy cudzoziemcom przebywającym wbrew przepisom na terytorium Rzeczypospolitej Polskiej (Dz. U. poz. 769);</w:t>
            </w:r>
          </w:p>
          <w:p w14:paraId="3D6BCBEE"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B7B3CDB"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1DA7DC4"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6617AABB"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4FDC2BE"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bezprawnie wpływał lub próbował wpłynąć na czynności zamawiającego lub pozyskać informacje poufne, mogące dać mu przewagę w postępowaniu o udzielenie zamówienia;</w:t>
            </w:r>
          </w:p>
          <w:p w14:paraId="0624C1B4"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B27BF3A"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4EDFEDAF"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 xml:space="preserve">wykonawcę będącego podmiotem zbiorowym, wobec którego sąd orzekł zakaz ubiegania się o zamówienia publiczne na podstawie ustawy z dnia 28 października 2002 r. o odpowiedzialności </w:t>
            </w:r>
            <w:r w:rsidRPr="00270CDA">
              <w:rPr>
                <w:rFonts w:ascii="Calibri" w:eastAsia="Times New Roman" w:hAnsi="Calibri"/>
                <w:bCs/>
                <w:kern w:val="0"/>
                <w:sz w:val="20"/>
                <w:szCs w:val="20"/>
                <w:lang w:eastAsia="pl-PL"/>
              </w:rPr>
              <w:lastRenderedPageBreak/>
              <w:t>podmiotów zbiorowych za czyny zabronione pod groźbą kary (Dz. U. z 2015 r. poz. 1212, 1844 i 1855 oraz z 2016 r. poz. 437);</w:t>
            </w:r>
          </w:p>
          <w:p w14:paraId="7FAE35B3"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wykonawcę, wobec którego orzeczono tytułem środka zapobiegawczego zakaz ubiegania się o zamówienia publiczne;</w:t>
            </w:r>
          </w:p>
          <w:p w14:paraId="594F2024" w14:textId="77777777" w:rsidR="000F084A" w:rsidRPr="00270CDA" w:rsidRDefault="000F084A" w:rsidP="000F084A">
            <w:pPr>
              <w:widowControl/>
              <w:numPr>
                <w:ilvl w:val="0"/>
                <w:numId w:val="1"/>
              </w:numPr>
              <w:suppressAutoHyphens w:val="0"/>
              <w:spacing w:after="40"/>
              <w:ind w:left="459"/>
              <w:jc w:val="both"/>
              <w:rPr>
                <w:rFonts w:ascii="Calibri" w:eastAsia="Times New Roman" w:hAnsi="Calibri"/>
                <w:kern w:val="0"/>
                <w:sz w:val="20"/>
                <w:szCs w:val="20"/>
                <w:lang w:eastAsia="pl-PL"/>
              </w:rPr>
            </w:pPr>
            <w:r w:rsidRPr="00270CDA">
              <w:rPr>
                <w:rFonts w:ascii="Calibri" w:eastAsia="Times New Roman" w:hAnsi="Calibri"/>
                <w:kern w:val="0"/>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B90F8B1" w14:textId="77777777" w:rsidR="000F084A" w:rsidRPr="00270CDA" w:rsidRDefault="000F084A" w:rsidP="00084E81">
            <w:pPr>
              <w:widowControl/>
              <w:tabs>
                <w:tab w:val="left" w:pos="5245"/>
                <w:tab w:val="left" w:pos="9072"/>
              </w:tabs>
              <w:suppressAutoHyphens w:val="0"/>
              <w:autoSpaceDE w:val="0"/>
              <w:autoSpaceDN w:val="0"/>
              <w:adjustRightInd w:val="0"/>
              <w:spacing w:after="40"/>
              <w:ind w:left="284" w:hanging="284"/>
              <w:jc w:val="both"/>
              <w:rPr>
                <w:rFonts w:ascii="Calibri" w:eastAsia="Calibri" w:hAnsi="Calibri" w:cs="Segoe UI"/>
                <w:kern w:val="0"/>
                <w:sz w:val="20"/>
                <w:szCs w:val="20"/>
                <w:lang w:eastAsia="pl-PL"/>
              </w:rPr>
            </w:pPr>
            <w:r w:rsidRPr="00270CDA">
              <w:rPr>
                <w:rFonts w:ascii="Calibri" w:eastAsia="Calibri" w:hAnsi="Calibri" w:cs="Segoe UI"/>
                <w:kern w:val="0"/>
                <w:sz w:val="20"/>
                <w:szCs w:val="20"/>
                <w:lang w:eastAsia="pl-PL"/>
              </w:rPr>
              <w:t>Ponadto zamawiający przewiduje możliwość wykluczenia wykonawcy w sytuacji:</w:t>
            </w:r>
          </w:p>
          <w:p w14:paraId="13A1828F"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 xml:space="preserve">w </w:t>
            </w:r>
            <w:proofErr w:type="gramStart"/>
            <w:r w:rsidRPr="00270CDA">
              <w:rPr>
                <w:rFonts w:ascii="Calibri" w:eastAsia="Times New Roman" w:hAnsi="Calibri"/>
                <w:bCs/>
                <w:kern w:val="0"/>
                <w:sz w:val="20"/>
                <w:szCs w:val="20"/>
                <w:lang w:eastAsia="pl-PL"/>
              </w:rPr>
              <w:t>stosunku</w:t>
            </w:r>
            <w:proofErr w:type="gramEnd"/>
            <w:r w:rsidRPr="00270CDA">
              <w:rPr>
                <w:rFonts w:ascii="Calibri" w:eastAsia="Times New Roman" w:hAnsi="Calibri"/>
                <w:bCs/>
                <w:kern w:val="0"/>
                <w:sz w:val="20"/>
                <w:szCs w:val="20"/>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361A5CC6"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 xml:space="preserve">który w sposób zawiniony poważnie naruszył obowiązki zawodowe, co podważa jego uczciwość, w </w:t>
            </w:r>
            <w:proofErr w:type="gramStart"/>
            <w:r w:rsidRPr="00270CDA">
              <w:rPr>
                <w:rFonts w:ascii="Calibri" w:eastAsia="Times New Roman" w:hAnsi="Calibri"/>
                <w:bCs/>
                <w:kern w:val="0"/>
                <w:sz w:val="20"/>
                <w:szCs w:val="20"/>
                <w:lang w:eastAsia="pl-PL"/>
              </w:rPr>
              <w:t>szczególności</w:t>
            </w:r>
            <w:proofErr w:type="gramEnd"/>
            <w:r w:rsidRPr="00270CDA">
              <w:rPr>
                <w:rFonts w:ascii="Calibri" w:eastAsia="Times New Roman" w:hAnsi="Calibri"/>
                <w:bCs/>
                <w:kern w:val="0"/>
                <w:sz w:val="20"/>
                <w:szCs w:val="20"/>
                <w:lang w:eastAsia="pl-PL"/>
              </w:rPr>
              <w:t xml:space="preserve"> gdy wykonawca w wyniku zamierzonego działania lub rażącego niedbalstwa nie wykonał lub nienależycie wykonał zamówienie, co zamawiający jest w stanie wykazać za pomocą stosownych środków dowodowych;</w:t>
            </w:r>
          </w:p>
          <w:p w14:paraId="2C65F3F1"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jeżeli wykonawca lub osoby, o których mowa w ust. 1 pkt 14, uprawnione do reprezentowania wykonawcy pozostają w relacjach określonych w art. 17 ust. 1 pkt 2–4 z:</w:t>
            </w:r>
          </w:p>
          <w:p w14:paraId="5E4C407C" w14:textId="77777777" w:rsidR="000F084A" w:rsidRPr="00270CDA" w:rsidRDefault="000F084A" w:rsidP="000F084A">
            <w:pPr>
              <w:widowControl/>
              <w:numPr>
                <w:ilvl w:val="0"/>
                <w:numId w:val="4"/>
              </w:numPr>
              <w:suppressAutoHyphens w:val="0"/>
              <w:spacing w:after="40"/>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zamawiającym,</w:t>
            </w:r>
          </w:p>
          <w:p w14:paraId="2E52D061" w14:textId="77777777" w:rsidR="000F084A" w:rsidRPr="00270CDA" w:rsidRDefault="000F084A" w:rsidP="000F084A">
            <w:pPr>
              <w:widowControl/>
              <w:numPr>
                <w:ilvl w:val="0"/>
                <w:numId w:val="4"/>
              </w:numPr>
              <w:suppressAutoHyphens w:val="0"/>
              <w:spacing w:after="40"/>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osobami uprawnionymi do reprezentowania zamawiającego,</w:t>
            </w:r>
          </w:p>
          <w:p w14:paraId="3A10F254" w14:textId="77777777" w:rsidR="000F084A" w:rsidRPr="00270CDA" w:rsidRDefault="000F084A" w:rsidP="000F084A">
            <w:pPr>
              <w:widowControl/>
              <w:numPr>
                <w:ilvl w:val="0"/>
                <w:numId w:val="4"/>
              </w:numPr>
              <w:suppressAutoHyphens w:val="0"/>
              <w:spacing w:after="40"/>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członkami komisji przetargowej,</w:t>
            </w:r>
          </w:p>
          <w:p w14:paraId="372D593B" w14:textId="77777777" w:rsidR="000F084A" w:rsidRPr="00270CDA" w:rsidRDefault="000F084A" w:rsidP="000F084A">
            <w:pPr>
              <w:widowControl/>
              <w:numPr>
                <w:ilvl w:val="0"/>
                <w:numId w:val="4"/>
              </w:numPr>
              <w:suppressAutoHyphens w:val="0"/>
              <w:spacing w:after="40"/>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osobami, które złożyły oświadczenie, o którym mowa w art. 17 ust. 2a</w:t>
            </w:r>
          </w:p>
          <w:p w14:paraId="61C508AB" w14:textId="77777777" w:rsidR="000F084A" w:rsidRPr="00270CDA" w:rsidRDefault="000F084A" w:rsidP="00084E81">
            <w:pPr>
              <w:widowControl/>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chyba że jest możliwe zapewnienie bezstronności po stronie zamawiającego w inny sposób niż przez wykluczenie wykonawcy z udziału w postępowaniu;</w:t>
            </w:r>
          </w:p>
          <w:p w14:paraId="5EEA78F6"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42F6456"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9291176"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78F83A8"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BA88D1" w14:textId="77777777" w:rsidR="000F084A" w:rsidRPr="00270CDA" w:rsidRDefault="000F084A" w:rsidP="000F084A">
            <w:pPr>
              <w:widowControl/>
              <w:numPr>
                <w:ilvl w:val="0"/>
                <w:numId w:val="3"/>
              </w:numPr>
              <w:suppressAutoHyphens w:val="0"/>
              <w:spacing w:after="40"/>
              <w:ind w:left="459"/>
              <w:jc w:val="both"/>
              <w:rPr>
                <w:rFonts w:ascii="Calibri" w:eastAsia="Times New Roman" w:hAnsi="Calibri"/>
                <w:bCs/>
                <w:kern w:val="0"/>
                <w:sz w:val="20"/>
                <w:szCs w:val="20"/>
                <w:lang w:eastAsia="pl-PL"/>
              </w:rPr>
            </w:pPr>
            <w:r w:rsidRPr="00270CDA">
              <w:rPr>
                <w:rFonts w:ascii="Calibri" w:eastAsia="Times New Roman" w:hAnsi="Calibri"/>
                <w:bCs/>
                <w:kern w:val="0"/>
                <w:sz w:val="20"/>
                <w:szCs w:val="20"/>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A1F8A06" w14:textId="77777777" w:rsidR="000F084A" w:rsidRPr="00270CDA" w:rsidRDefault="000F084A" w:rsidP="00084E81">
            <w:pPr>
              <w:widowControl/>
              <w:tabs>
                <w:tab w:val="left" w:pos="851"/>
              </w:tabs>
              <w:suppressAutoHyphens w:val="0"/>
              <w:spacing w:after="40"/>
              <w:jc w:val="both"/>
              <w:rPr>
                <w:rFonts w:ascii="Calibri" w:eastAsia="Times New Roman" w:hAnsi="Calibri" w:cs="Segoe UI"/>
                <w:kern w:val="0"/>
                <w:sz w:val="20"/>
                <w:szCs w:val="20"/>
                <w:lang w:eastAsia="pl-PL"/>
              </w:rPr>
            </w:pPr>
            <w:r w:rsidRPr="00270CDA">
              <w:rPr>
                <w:rFonts w:ascii="Calibri" w:eastAsia="Times New Roman" w:hAnsi="Calibri"/>
                <w:kern w:val="0"/>
                <w:sz w:val="20"/>
                <w:szCs w:val="20"/>
                <w:lang w:eastAsia="pl-PL"/>
              </w:rPr>
              <w:t>Wykonawca ubiegający się o przedmiotowe zamówienie musi spełniać również warunki udziału w postępowaniu dotyczące:</w:t>
            </w:r>
          </w:p>
          <w:p w14:paraId="66FEE8AF" w14:textId="77777777" w:rsidR="000F084A" w:rsidRDefault="000F084A" w:rsidP="000F084A">
            <w:pPr>
              <w:widowControl/>
              <w:numPr>
                <w:ilvl w:val="0"/>
                <w:numId w:val="5"/>
              </w:numPr>
              <w:tabs>
                <w:tab w:val="left" w:pos="459"/>
              </w:tabs>
              <w:suppressAutoHyphens w:val="0"/>
              <w:spacing w:after="40"/>
              <w:ind w:left="459"/>
              <w:jc w:val="both"/>
              <w:rPr>
                <w:rFonts w:ascii="Calibri" w:eastAsia="Times New Roman" w:hAnsi="Calibri" w:cs="Segoe UI"/>
                <w:kern w:val="0"/>
                <w:sz w:val="20"/>
                <w:szCs w:val="20"/>
                <w:lang w:eastAsia="pl-PL"/>
              </w:rPr>
            </w:pPr>
            <w:r w:rsidRPr="00270CDA">
              <w:rPr>
                <w:rFonts w:ascii="Calibri" w:eastAsia="Times New Roman" w:hAnsi="Calibri"/>
                <w:bCs/>
                <w:kern w:val="0"/>
                <w:sz w:val="20"/>
                <w:szCs w:val="20"/>
                <w:lang w:eastAsia="pl-PL"/>
              </w:rPr>
              <w:t xml:space="preserve">sytuacji ekonomicznej lub finansowej. </w:t>
            </w:r>
            <w:r w:rsidRPr="00270CDA">
              <w:rPr>
                <w:rFonts w:ascii="Calibri" w:eastAsia="Times New Roman" w:hAnsi="Calibri" w:cs="Segoe UI"/>
                <w:kern w:val="0"/>
                <w:sz w:val="20"/>
                <w:szCs w:val="20"/>
                <w:lang w:eastAsia="pl-PL"/>
              </w:rPr>
              <w:t>Wykonawca s</w:t>
            </w:r>
            <w:r>
              <w:rPr>
                <w:rFonts w:ascii="Calibri" w:eastAsia="Times New Roman" w:hAnsi="Calibri" w:cs="Segoe UI"/>
                <w:kern w:val="0"/>
                <w:sz w:val="20"/>
                <w:szCs w:val="20"/>
                <w:lang w:eastAsia="pl-PL"/>
              </w:rPr>
              <w:t>pełni warunek jeżeli wykaże, że</w:t>
            </w:r>
            <w:r w:rsidRPr="00270CDA">
              <w:rPr>
                <w:rFonts w:ascii="Calibri" w:eastAsia="Times New Roman" w:hAnsi="Calibri" w:cs="Segoe UI"/>
                <w:kern w:val="0"/>
                <w:sz w:val="20"/>
                <w:szCs w:val="20"/>
                <w:lang w:eastAsia="pl-PL"/>
              </w:rPr>
              <w:t xml:space="preserve">: że jest </w:t>
            </w:r>
            <w:proofErr w:type="gramStart"/>
            <w:r w:rsidRPr="00270CDA">
              <w:rPr>
                <w:rFonts w:ascii="Calibri" w:eastAsia="Times New Roman" w:hAnsi="Calibri" w:cs="Segoe UI"/>
                <w:kern w:val="0"/>
                <w:sz w:val="20"/>
                <w:szCs w:val="20"/>
                <w:lang w:eastAsia="pl-PL"/>
              </w:rPr>
              <w:t>ubezpieczony  od</w:t>
            </w:r>
            <w:proofErr w:type="gramEnd"/>
            <w:r w:rsidRPr="00270CDA">
              <w:rPr>
                <w:rFonts w:ascii="Calibri" w:eastAsia="Times New Roman" w:hAnsi="Calibri" w:cs="Segoe UI"/>
                <w:kern w:val="0"/>
                <w:sz w:val="20"/>
                <w:szCs w:val="20"/>
                <w:lang w:eastAsia="pl-PL"/>
              </w:rPr>
              <w:t xml:space="preserve"> odpowi</w:t>
            </w:r>
            <w:r>
              <w:rPr>
                <w:rFonts w:ascii="Calibri" w:eastAsia="Times New Roman" w:hAnsi="Calibri" w:cs="Segoe UI"/>
                <w:kern w:val="0"/>
                <w:sz w:val="20"/>
                <w:szCs w:val="20"/>
                <w:lang w:eastAsia="pl-PL"/>
              </w:rPr>
              <w:t>edzialności cywilnej na kwotę  1.000 000,00 zł.(jeden milion</w:t>
            </w:r>
            <w:r w:rsidRPr="00270CDA">
              <w:rPr>
                <w:rFonts w:ascii="Calibri" w:eastAsia="Times New Roman" w:hAnsi="Calibri" w:cs="Segoe UI"/>
                <w:kern w:val="0"/>
                <w:sz w:val="20"/>
                <w:szCs w:val="20"/>
                <w:lang w:eastAsia="pl-PL"/>
              </w:rPr>
              <w:t xml:space="preserve"> złotych)</w:t>
            </w:r>
          </w:p>
          <w:p w14:paraId="5C317FFA" w14:textId="77777777" w:rsidR="000F084A" w:rsidRDefault="000F084A" w:rsidP="000F084A">
            <w:pPr>
              <w:widowControl/>
              <w:numPr>
                <w:ilvl w:val="0"/>
                <w:numId w:val="5"/>
              </w:numPr>
              <w:tabs>
                <w:tab w:val="left" w:pos="459"/>
              </w:tabs>
              <w:suppressAutoHyphens w:val="0"/>
              <w:spacing w:after="40"/>
              <w:ind w:left="459"/>
              <w:jc w:val="both"/>
              <w:rPr>
                <w:rFonts w:ascii="Calibri" w:eastAsia="Times New Roman" w:hAnsi="Calibri" w:cs="Segoe UI"/>
                <w:kern w:val="0"/>
                <w:sz w:val="20"/>
                <w:szCs w:val="20"/>
                <w:lang w:eastAsia="pl-PL"/>
              </w:rPr>
            </w:pPr>
            <w:r w:rsidRPr="00270CDA">
              <w:rPr>
                <w:rFonts w:ascii="Calibri" w:eastAsia="Times New Roman" w:hAnsi="Calibri"/>
                <w:kern w:val="0"/>
                <w:sz w:val="20"/>
                <w:szCs w:val="20"/>
                <w:lang w:eastAsia="pl-PL"/>
              </w:rPr>
              <w:t xml:space="preserve">zdolności technicznej lub zawodowej. </w:t>
            </w:r>
            <w:r w:rsidRPr="00270CDA">
              <w:rPr>
                <w:rFonts w:ascii="Calibri" w:eastAsia="Times New Roman" w:hAnsi="Calibri" w:cs="Segoe UI"/>
                <w:kern w:val="0"/>
                <w:sz w:val="20"/>
                <w:szCs w:val="20"/>
                <w:lang w:eastAsia="pl-PL"/>
              </w:rPr>
              <w:t xml:space="preserve">Wykonawca spełni warunek jeżeli wykaże, </w:t>
            </w:r>
            <w:proofErr w:type="gramStart"/>
            <w:r w:rsidRPr="00270CDA">
              <w:rPr>
                <w:rFonts w:ascii="Calibri" w:eastAsia="Times New Roman" w:hAnsi="Calibri" w:cs="Segoe UI"/>
                <w:kern w:val="0"/>
                <w:sz w:val="20"/>
                <w:szCs w:val="20"/>
                <w:lang w:eastAsia="pl-PL"/>
              </w:rPr>
              <w:t>że  wykonał</w:t>
            </w:r>
            <w:proofErr w:type="gramEnd"/>
            <w:r w:rsidRPr="00270CDA">
              <w:rPr>
                <w:rFonts w:ascii="Calibri" w:eastAsia="Times New Roman" w:hAnsi="Calibri" w:cs="Segoe UI"/>
                <w:kern w:val="0"/>
                <w:sz w:val="20"/>
                <w:szCs w:val="20"/>
                <w:lang w:eastAsia="pl-PL"/>
              </w:rPr>
              <w:t xml:space="preserve"> w ciągu </w:t>
            </w:r>
            <w:r w:rsidRPr="00A126A4">
              <w:rPr>
                <w:rFonts w:ascii="Calibri" w:eastAsia="Times New Roman" w:hAnsi="Calibri" w:cs="Segoe UI"/>
                <w:kern w:val="0"/>
                <w:sz w:val="20"/>
                <w:szCs w:val="20"/>
                <w:lang w:eastAsia="pl-PL"/>
              </w:rPr>
              <w:t>ostatnich pięciu lat:</w:t>
            </w:r>
            <w:r w:rsidRPr="00270CDA">
              <w:rPr>
                <w:rFonts w:ascii="Calibri" w:eastAsia="Times New Roman" w:hAnsi="Calibri" w:cs="Segoe UI"/>
                <w:kern w:val="0"/>
                <w:sz w:val="20"/>
                <w:szCs w:val="20"/>
                <w:lang w:eastAsia="pl-PL"/>
              </w:rPr>
              <w:t xml:space="preserve"> </w:t>
            </w:r>
          </w:p>
          <w:p w14:paraId="72078411"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r>
              <w:rPr>
                <w:rFonts w:ascii="Calibri" w:eastAsia="Times New Roman" w:hAnsi="Calibri" w:cs="Segoe UI"/>
                <w:kern w:val="0"/>
                <w:sz w:val="20"/>
                <w:szCs w:val="20"/>
                <w:lang w:eastAsia="pl-PL"/>
              </w:rPr>
              <w:tab/>
              <w:t>co najmniej jedną odrębną robotę budowlaną (zadanie</w:t>
            </w:r>
            <w:r w:rsidRPr="00A126A4">
              <w:rPr>
                <w:rFonts w:ascii="Calibri" w:eastAsia="Times New Roman" w:hAnsi="Calibri" w:cs="Segoe UI"/>
                <w:kern w:val="0"/>
                <w:sz w:val="20"/>
                <w:szCs w:val="20"/>
                <w:lang w:eastAsia="pl-PL"/>
              </w:rPr>
              <w:t>) z</w:t>
            </w:r>
            <w:r>
              <w:rPr>
                <w:rFonts w:ascii="Calibri" w:eastAsia="Times New Roman" w:hAnsi="Calibri" w:cs="Segoe UI"/>
                <w:kern w:val="0"/>
                <w:sz w:val="20"/>
                <w:szCs w:val="20"/>
                <w:lang w:eastAsia="pl-PL"/>
              </w:rPr>
              <w:t xml:space="preserve">wiązane </w:t>
            </w:r>
            <w:proofErr w:type="gramStart"/>
            <w:r>
              <w:rPr>
                <w:rFonts w:ascii="Calibri" w:eastAsia="Times New Roman" w:hAnsi="Calibri" w:cs="Segoe UI"/>
                <w:kern w:val="0"/>
                <w:sz w:val="20"/>
                <w:szCs w:val="20"/>
                <w:lang w:eastAsia="pl-PL"/>
              </w:rPr>
              <w:t>z  wykonaniem</w:t>
            </w:r>
            <w:proofErr w:type="gramEnd"/>
            <w:r>
              <w:rPr>
                <w:rFonts w:ascii="Calibri" w:eastAsia="Times New Roman" w:hAnsi="Calibri" w:cs="Segoe UI"/>
                <w:kern w:val="0"/>
                <w:sz w:val="20"/>
                <w:szCs w:val="20"/>
                <w:lang w:eastAsia="pl-PL"/>
              </w:rPr>
              <w:t xml:space="preserve"> zjeżdżalni wodnych lub budowę, remont obiektów basenowych o wartości nie niższej niż  6</w:t>
            </w:r>
            <w:r w:rsidRPr="00A126A4">
              <w:rPr>
                <w:rFonts w:ascii="Calibri" w:eastAsia="Times New Roman" w:hAnsi="Calibri" w:cs="Segoe UI"/>
                <w:kern w:val="0"/>
                <w:sz w:val="20"/>
                <w:szCs w:val="20"/>
                <w:lang w:eastAsia="pl-PL"/>
              </w:rPr>
              <w:t>00.000,00 zł (brutto) każda;</w:t>
            </w:r>
          </w:p>
          <w:p w14:paraId="25626FBF"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w:t>
            </w:r>
            <w:r w:rsidRPr="00A126A4">
              <w:rPr>
                <w:rFonts w:ascii="Calibri" w:eastAsia="Times New Roman" w:hAnsi="Calibri" w:cs="Segoe UI"/>
                <w:kern w:val="0"/>
                <w:sz w:val="20"/>
                <w:szCs w:val="20"/>
                <w:lang w:eastAsia="pl-PL"/>
              </w:rPr>
              <w:tab/>
              <w:t xml:space="preserve"> dysponuje lub będzie dysponował następującymi osobami:</w:t>
            </w:r>
          </w:p>
          <w:p w14:paraId="4C65B7B2"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jedną osobą z uprawnieniami do projektowania bez </w:t>
            </w:r>
            <w:proofErr w:type="gramStart"/>
            <w:r w:rsidRPr="00A126A4">
              <w:rPr>
                <w:rFonts w:ascii="Calibri" w:eastAsia="Times New Roman" w:hAnsi="Calibri" w:cs="Segoe UI"/>
                <w:kern w:val="0"/>
                <w:sz w:val="20"/>
                <w:szCs w:val="20"/>
                <w:lang w:eastAsia="pl-PL"/>
              </w:rPr>
              <w:t>ograniczeń  w</w:t>
            </w:r>
            <w:proofErr w:type="gramEnd"/>
            <w:r w:rsidRPr="00A126A4">
              <w:rPr>
                <w:rFonts w:ascii="Calibri" w:eastAsia="Times New Roman" w:hAnsi="Calibri" w:cs="Segoe UI"/>
                <w:kern w:val="0"/>
                <w:sz w:val="20"/>
                <w:szCs w:val="20"/>
                <w:lang w:eastAsia="pl-PL"/>
              </w:rPr>
              <w:t xml:space="preserve"> specjalności konstrukcyjno-budowlanej bez ograniczeń</w:t>
            </w:r>
          </w:p>
          <w:p w14:paraId="7545022D"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jedna osobą z uprawnieniami budowlanymi do </w:t>
            </w:r>
            <w:proofErr w:type="gramStart"/>
            <w:r w:rsidRPr="00A126A4">
              <w:rPr>
                <w:rFonts w:ascii="Calibri" w:eastAsia="Times New Roman" w:hAnsi="Calibri" w:cs="Segoe UI"/>
                <w:kern w:val="0"/>
                <w:sz w:val="20"/>
                <w:szCs w:val="20"/>
                <w:lang w:eastAsia="pl-PL"/>
              </w:rPr>
              <w:t>projektowania  bez</w:t>
            </w:r>
            <w:proofErr w:type="gramEnd"/>
            <w:r w:rsidRPr="00A126A4">
              <w:rPr>
                <w:rFonts w:ascii="Calibri" w:eastAsia="Times New Roman" w:hAnsi="Calibri" w:cs="Segoe UI"/>
                <w:kern w:val="0"/>
                <w:sz w:val="20"/>
                <w:szCs w:val="20"/>
                <w:lang w:eastAsia="pl-PL"/>
              </w:rPr>
              <w:t xml:space="preserve"> ograniczeń  sieci, instalacji i urządzeń cieplnych, wentylacyjnych, gazowych, wodociągowych i kanalizacyjnych lub odpowiadające im uprawnienia budowlane   wydane na podstawie wcześniej obowiązujących przepisów.</w:t>
            </w:r>
          </w:p>
          <w:p w14:paraId="7371625E"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jedną </w:t>
            </w:r>
            <w:proofErr w:type="gramStart"/>
            <w:r w:rsidRPr="00A126A4">
              <w:rPr>
                <w:rFonts w:ascii="Calibri" w:eastAsia="Times New Roman" w:hAnsi="Calibri" w:cs="Segoe UI"/>
                <w:kern w:val="0"/>
                <w:sz w:val="20"/>
                <w:szCs w:val="20"/>
                <w:lang w:eastAsia="pl-PL"/>
              </w:rPr>
              <w:t>osobą  z</w:t>
            </w:r>
            <w:proofErr w:type="gramEnd"/>
            <w:r w:rsidRPr="00A126A4">
              <w:rPr>
                <w:rFonts w:ascii="Calibri" w:eastAsia="Times New Roman" w:hAnsi="Calibri" w:cs="Segoe UI"/>
                <w:kern w:val="0"/>
                <w:sz w:val="20"/>
                <w:szCs w:val="20"/>
                <w:lang w:eastAsia="pl-PL"/>
              </w:rPr>
              <w:t xml:space="preserve"> uprawnieniami budowlanymi do projektowania w specjalności instalacyjnej w zakresie sieci, instalacji i  urządzeń elektrycznych i elektroenergetycznych</w:t>
            </w:r>
          </w:p>
          <w:p w14:paraId="5FD7B140"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  jedną osobą posiadającą uprawnienia do kierowania robotami budowlanymi w branży ogólnobudowlanej (kierownik</w:t>
            </w:r>
          </w:p>
          <w:p w14:paraId="70B7BCE3"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budowy) bez ograniczeń;</w:t>
            </w:r>
          </w:p>
          <w:p w14:paraId="53D64C18" w14:textId="77777777" w:rsidR="000F084A" w:rsidRPr="00A126A4"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sidRPr="00A126A4">
              <w:rPr>
                <w:rFonts w:ascii="Calibri" w:eastAsia="Times New Roman" w:hAnsi="Calibri" w:cs="Segoe UI"/>
                <w:kern w:val="0"/>
                <w:sz w:val="20"/>
                <w:szCs w:val="20"/>
                <w:lang w:eastAsia="pl-PL"/>
              </w:rPr>
              <w:t xml:space="preserve">  - jedną osoba posiadająca uprawnienia do kierowania robotami budowlanymi w branży elektrycznej (kierownik robót);</w:t>
            </w:r>
          </w:p>
          <w:p w14:paraId="5F3229D5" w14:textId="77777777" w:rsidR="000F084A" w:rsidRPr="00270CDA"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 jedna osobą</w:t>
            </w:r>
            <w:r w:rsidRPr="00A126A4">
              <w:rPr>
                <w:rFonts w:ascii="Calibri" w:eastAsia="Times New Roman" w:hAnsi="Calibri" w:cs="Segoe UI"/>
                <w:kern w:val="0"/>
                <w:sz w:val="20"/>
                <w:szCs w:val="20"/>
                <w:lang w:eastAsia="pl-PL"/>
              </w:rPr>
              <w:t xml:space="preserve"> </w:t>
            </w:r>
            <w:r>
              <w:rPr>
                <w:rFonts w:ascii="Calibri" w:eastAsia="Times New Roman" w:hAnsi="Calibri" w:cs="Segoe UI"/>
                <w:kern w:val="0"/>
                <w:sz w:val="20"/>
                <w:szCs w:val="20"/>
                <w:lang w:eastAsia="pl-PL"/>
              </w:rPr>
              <w:t>posiadającą uprawnienia do kierowania robotami w zakresie</w:t>
            </w:r>
            <w:r w:rsidRPr="00A126A4">
              <w:rPr>
                <w:rFonts w:ascii="Calibri" w:eastAsia="Times New Roman" w:hAnsi="Calibri" w:cs="Segoe UI"/>
                <w:kern w:val="0"/>
                <w:sz w:val="20"/>
                <w:szCs w:val="20"/>
                <w:lang w:eastAsia="pl-PL"/>
              </w:rPr>
              <w:t xml:space="preserve"> sieci, instalacji i urządzeń cieplnych, wentylacyjnych, gazowych, wodociągowych i kanalizacyjnych lub odpowiadające im uprawnienia budowlane   wydane na podstawie wcześniej obowiązujących przepisów</w:t>
            </w:r>
            <w:r>
              <w:rPr>
                <w:rFonts w:ascii="Calibri" w:eastAsia="Times New Roman" w:hAnsi="Calibri" w:cs="Segoe UI"/>
                <w:kern w:val="0"/>
                <w:sz w:val="20"/>
                <w:szCs w:val="20"/>
                <w:lang w:eastAsia="pl-PL"/>
              </w:rPr>
              <w:t xml:space="preserve"> (kierownik robót)</w:t>
            </w:r>
            <w:r w:rsidRPr="00A126A4">
              <w:rPr>
                <w:rFonts w:ascii="Calibri" w:eastAsia="Times New Roman" w:hAnsi="Calibri" w:cs="Segoe UI"/>
                <w:kern w:val="0"/>
                <w:sz w:val="20"/>
                <w:szCs w:val="20"/>
                <w:lang w:eastAsia="pl-PL"/>
              </w:rPr>
              <w:t>.</w:t>
            </w:r>
          </w:p>
          <w:p w14:paraId="227BA68C" w14:textId="77777777" w:rsidR="000F084A" w:rsidRPr="00270CDA" w:rsidRDefault="000F084A" w:rsidP="00084E81">
            <w:pPr>
              <w:widowControl/>
              <w:tabs>
                <w:tab w:val="left" w:pos="459"/>
              </w:tabs>
              <w:suppressAutoHyphens w:val="0"/>
              <w:spacing w:after="40"/>
              <w:ind w:left="720"/>
              <w:jc w:val="both"/>
              <w:rPr>
                <w:rFonts w:ascii="Calibri" w:eastAsia="Times New Roman" w:hAnsi="Calibri" w:cs="Segoe UI"/>
                <w:kern w:val="0"/>
                <w:sz w:val="20"/>
                <w:szCs w:val="20"/>
                <w:lang w:eastAsia="pl-PL"/>
              </w:rPr>
            </w:pPr>
          </w:p>
          <w:p w14:paraId="7CB11E59" w14:textId="77777777" w:rsidR="000F084A" w:rsidRPr="00270CDA" w:rsidRDefault="000F084A" w:rsidP="00084E81">
            <w:pPr>
              <w:widowControl/>
              <w:tabs>
                <w:tab w:val="left" w:pos="5245"/>
                <w:tab w:val="left" w:pos="9072"/>
              </w:tabs>
              <w:suppressAutoHyphens w:val="0"/>
              <w:autoSpaceDE w:val="0"/>
              <w:autoSpaceDN w:val="0"/>
              <w:adjustRightInd w:val="0"/>
              <w:spacing w:after="40"/>
              <w:ind w:left="284" w:hanging="284"/>
              <w:jc w:val="both"/>
              <w:rPr>
                <w:rFonts w:ascii="Calibri" w:eastAsia="Calibri" w:hAnsi="Calibri" w:cs="Segoe UI"/>
                <w:kern w:val="0"/>
                <w:sz w:val="20"/>
                <w:szCs w:val="20"/>
                <w:lang w:eastAsia="pl-PL"/>
              </w:rPr>
            </w:pPr>
          </w:p>
        </w:tc>
      </w:tr>
      <w:tr w:rsidR="000F084A" w:rsidRPr="00270CDA" w14:paraId="0D9C52C5" w14:textId="77777777" w:rsidTr="00084E81">
        <w:trPr>
          <w:trHeight w:val="1459"/>
        </w:trPr>
        <w:tc>
          <w:tcPr>
            <w:tcW w:w="4500" w:type="dxa"/>
            <w:vAlign w:val="bottom"/>
          </w:tcPr>
          <w:p w14:paraId="6A1FF4C2" w14:textId="77777777" w:rsidR="000F084A" w:rsidRPr="00270CDA" w:rsidRDefault="000F084A" w:rsidP="00084E81">
            <w:pPr>
              <w:widowControl/>
              <w:suppressAutoHyphens w:val="0"/>
              <w:spacing w:after="40"/>
              <w:jc w:val="center"/>
              <w:rPr>
                <w:rFonts w:ascii="Calibri" w:eastAsia="Times New Roman" w:hAnsi="Calibri" w:cs="Segoe UI"/>
                <w:kern w:val="0"/>
                <w:sz w:val="16"/>
                <w:szCs w:val="16"/>
                <w:lang w:eastAsia="pl-PL"/>
              </w:rPr>
            </w:pPr>
            <w:r w:rsidRPr="00270CDA">
              <w:rPr>
                <w:rFonts w:ascii="Calibri" w:eastAsia="Times New Roman" w:hAnsi="Calibri" w:cs="Segoe UI"/>
                <w:kern w:val="0"/>
                <w:sz w:val="16"/>
                <w:szCs w:val="16"/>
                <w:lang w:eastAsia="pl-PL"/>
              </w:rPr>
              <w:lastRenderedPageBreak/>
              <w:t>……………………………………………………….</w:t>
            </w:r>
          </w:p>
          <w:p w14:paraId="66FD9555" w14:textId="77777777" w:rsidR="000F084A" w:rsidRPr="00270CDA" w:rsidRDefault="000F084A" w:rsidP="00084E81">
            <w:pPr>
              <w:widowControl/>
              <w:suppressAutoHyphens w:val="0"/>
              <w:spacing w:after="40"/>
              <w:jc w:val="center"/>
              <w:rPr>
                <w:rFonts w:ascii="Calibri" w:eastAsia="Times New Roman" w:hAnsi="Calibri" w:cs="Segoe UI"/>
                <w:i/>
                <w:kern w:val="0"/>
                <w:sz w:val="16"/>
                <w:szCs w:val="16"/>
                <w:lang w:eastAsia="pl-PL"/>
              </w:rPr>
            </w:pPr>
            <w:r w:rsidRPr="00270CDA">
              <w:rPr>
                <w:rFonts w:ascii="Calibri" w:eastAsia="Times New Roman" w:hAnsi="Calibri" w:cs="Segoe UI"/>
                <w:kern w:val="0"/>
                <w:sz w:val="16"/>
                <w:szCs w:val="16"/>
                <w:lang w:eastAsia="pl-PL"/>
              </w:rPr>
              <w:t>pieczęć Wykonawcy</w:t>
            </w:r>
          </w:p>
        </w:tc>
        <w:tc>
          <w:tcPr>
            <w:tcW w:w="4714" w:type="dxa"/>
            <w:vAlign w:val="bottom"/>
          </w:tcPr>
          <w:p w14:paraId="2956DC6F" w14:textId="77777777" w:rsidR="000F084A" w:rsidRPr="00270CDA" w:rsidRDefault="000F084A" w:rsidP="00084E81">
            <w:pPr>
              <w:widowControl/>
              <w:suppressAutoHyphens w:val="0"/>
              <w:spacing w:after="40"/>
              <w:ind w:left="4680" w:hanging="4965"/>
              <w:jc w:val="center"/>
              <w:rPr>
                <w:rFonts w:ascii="Calibri" w:eastAsia="Times New Roman" w:hAnsi="Calibri" w:cs="Segoe UI"/>
                <w:kern w:val="0"/>
                <w:sz w:val="16"/>
                <w:szCs w:val="16"/>
                <w:lang w:eastAsia="pl-PL"/>
              </w:rPr>
            </w:pPr>
            <w:r w:rsidRPr="00270CDA">
              <w:rPr>
                <w:rFonts w:ascii="Calibri" w:eastAsia="Times New Roman" w:hAnsi="Calibri" w:cs="Segoe UI"/>
                <w:kern w:val="0"/>
                <w:sz w:val="16"/>
                <w:szCs w:val="16"/>
                <w:lang w:eastAsia="pl-PL"/>
              </w:rPr>
              <w:t>.....................................................................................</w:t>
            </w:r>
          </w:p>
          <w:p w14:paraId="04536026" w14:textId="77777777" w:rsidR="000F084A" w:rsidRPr="00270CDA" w:rsidRDefault="000F084A" w:rsidP="00084E81">
            <w:pPr>
              <w:widowControl/>
              <w:suppressAutoHyphens w:val="0"/>
              <w:spacing w:after="40"/>
              <w:jc w:val="center"/>
              <w:rPr>
                <w:rFonts w:ascii="Calibri" w:eastAsia="Times New Roman" w:hAnsi="Calibri" w:cs="Segoe UI"/>
                <w:i/>
                <w:kern w:val="0"/>
                <w:sz w:val="16"/>
                <w:szCs w:val="16"/>
                <w:lang w:eastAsia="pl-PL"/>
              </w:rPr>
            </w:pPr>
            <w:r w:rsidRPr="00270CDA">
              <w:rPr>
                <w:rFonts w:ascii="Calibri" w:eastAsia="Times New Roman" w:hAnsi="Calibri" w:cs="Segoe UI"/>
                <w:kern w:val="0"/>
                <w:sz w:val="16"/>
                <w:szCs w:val="16"/>
                <w:lang w:eastAsia="pl-PL"/>
              </w:rPr>
              <w:t>Data i podpis upoważnionego przedstawiciela Wykonawcy</w:t>
            </w:r>
          </w:p>
        </w:tc>
      </w:tr>
    </w:tbl>
    <w:p w14:paraId="4120158D" w14:textId="77777777" w:rsidR="00887836" w:rsidRDefault="000F084A"/>
    <w:sectPr w:rsidR="00887836" w:rsidSect="00C344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9A470A"/>
    <w:multiLevelType w:val="hybridMultilevel"/>
    <w:tmpl w:val="9A983370"/>
    <w:lvl w:ilvl="0" w:tplc="1C9C0E42">
      <w:start w:val="1"/>
      <w:numFmt w:val="decimal"/>
      <w:lvlText w:val="%1."/>
      <w:lvlJc w:val="left"/>
      <w:pPr>
        <w:tabs>
          <w:tab w:val="num" w:pos="644"/>
        </w:tabs>
        <w:ind w:left="64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4A"/>
    <w:rsid w:val="000F084A"/>
    <w:rsid w:val="004C7D00"/>
    <w:rsid w:val="007D33B7"/>
    <w:rsid w:val="00972007"/>
    <w:rsid w:val="00C344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BDEA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0F084A"/>
    <w:pPr>
      <w:widowControl w:val="0"/>
      <w:suppressAutoHyphens/>
    </w:pPr>
    <w:rPr>
      <w:rFonts w:ascii="Times New Roman" w:eastAsia="Lucida Sans Unicode" w:hAnsi="Times New Roman"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8232</Characters>
  <Application>Microsoft Macintosh Word</Application>
  <DocSecurity>0</DocSecurity>
  <Lines>68</Lines>
  <Paragraphs>19</Paragraphs>
  <ScaleCrop>false</ScaleCrop>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Kania</dc:creator>
  <cp:keywords/>
  <dc:description/>
  <cp:lastModifiedBy>Jacek Kania</cp:lastModifiedBy>
  <cp:revision>1</cp:revision>
  <dcterms:created xsi:type="dcterms:W3CDTF">2017-06-20T13:20:00Z</dcterms:created>
  <dcterms:modified xsi:type="dcterms:W3CDTF">2017-06-20T13:21:00Z</dcterms:modified>
</cp:coreProperties>
</file>